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NSUR-1024M0A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Unmanaged, 24x PoE, 2xSFP, max. 30W pro Port, internes Netzteil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24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380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Non-Blocking Wire-Speed auf allen Ports</w:t>
      </w:r>
    </w:p>
    <w:p>
      <w:pPr>
        <w:pStyle w:val="p2Style"/>
      </w:pPr>
      <w:r>
        <w:rPr>
          <w:rStyle w:val="textStyle"/>
        </w:rPr>
        <w:t xml:space="preserve">MAC-Adresstabelle für bis zu 8.000 Geräte</w:t>
      </w:r>
    </w:p>
    <w:p>
      <w:pPr>
        <w:pStyle w:val="p2Style"/>
      </w:pPr>
      <w:r>
        <w:rPr>
          <w:rStyle w:val="textStyle"/>
        </w:rPr>
        <w:t xml:space="preserve">Forwarding Rate: bis zu 38,688 Mpps</w:t>
      </w:r>
    </w:p>
    <w:p>
      <w:pPr>
        <w:pStyle w:val="p2Style"/>
      </w:pPr>
      <w:r>
        <w:rPr>
          <w:rStyle w:val="textStyle"/>
        </w:rPr>
        <w:t xml:space="preserve">Switching-Kapazität: 52 Gbps Backplane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440×290×44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Befestigungswinkel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2026-07-03T15:40:19+00:00</dcterms:created>
  <dcterms:modified xsi:type="dcterms:W3CDTF">2026-07-03T15:40:19+00:00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