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26,784 Mpps</w:t>
      </w:r>
    </w:p>
    <w:p>
      <w:pPr>
        <w:pStyle w:val="p2Style"/>
      </w:pPr>
      <w:r>
        <w:rPr>
          <w:rStyle w:val="textStyle"/>
        </w:rPr>
        <w:t xml:space="preserve">Switching-Kapazität: 36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2026-05-19T12:53:51+00:00</dcterms:created>
  <dcterms:modified xsi:type="dcterms:W3CDTF">2026-05-19T12:53:51+00:00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