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NSUR-1008M0A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Rack, Unmanaged, 8x PoE, 2xSFP, max. 30W pro Port, internes Netzteil max. 150W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RJ45 Ports mit 10/100/1000 Mbps</w:t>
      </w:r>
    </w:p>
    <w:p>
      <w:pPr>
        <w:pStyle w:val="p2Style"/>
      </w:pPr>
      <w:r>
        <w:rPr>
          <w:rStyle w:val="textStyle"/>
        </w:rPr>
        <w:t xml:space="preserve">2 Gigabit SFP Fiber Ports für Uplink</w:t>
      </w:r>
    </w:p>
    <w:p>
      <w:pPr>
        <w:pStyle w:val="p2Style"/>
      </w:pPr>
      <w:r>
        <w:rPr>
          <w:rStyle w:val="textStyle"/>
        </w:rPr>
        <w:t xml:space="preserve">8 PoE+ Ports, bis zu 30W pro Port</w:t>
      </w:r>
    </w:p>
    <w:p>
      <w:pPr>
        <w:pStyle w:val="p2Style"/>
      </w:pPr>
      <w:r>
        <w:rPr>
          <w:rStyle w:val="textStyle"/>
        </w:rPr>
        <w:t xml:space="preserve">Gesamt-PoE-Leistung von 130 Watt</w:t>
      </w:r>
    </w:p>
    <w:p>
      <w:pPr>
        <w:pStyle w:val="p2Style"/>
      </w:pPr>
      <w:r>
        <w:rPr>
          <w:rStyle w:val="textStyle"/>
        </w:rPr>
        <w:t xml:space="preserve">Unterstützt IEEE 802.3af/at Standard</w:t>
      </w:r>
    </w:p>
    <w:p>
      <w:pPr>
        <w:pStyle w:val="p2Style"/>
      </w:pPr>
      <w:r>
        <w:rPr>
          <w:rStyle w:val="textStyle"/>
        </w:rPr>
        <w:t xml:space="preserve">Store-and-Forward Weiterleitungsmodus</w:t>
      </w:r>
    </w:p>
    <w:p>
      <w:pPr>
        <w:pStyle w:val="p2Style"/>
      </w:pPr>
      <w:r>
        <w:rPr>
          <w:rStyle w:val="textStyle"/>
        </w:rPr>
        <w:t xml:space="preserve">MAC-Adressen Auto-Learning &amp; Aging</w:t>
      </w:r>
    </w:p>
    <w:p>
      <w:pPr>
        <w:pStyle w:val="p2Style"/>
      </w:pPr>
      <w:r>
        <w:rPr>
          <w:rStyle w:val="textStyle"/>
        </w:rPr>
        <w:t xml:space="preserve">Switch-Kapazität: 20 Gbps Backplane</w:t>
      </w:r>
    </w:p>
    <w:p>
      <w:pPr>
        <w:pStyle w:val="p2Style"/>
      </w:pPr>
      <w:r>
        <w:rPr>
          <w:rStyle w:val="textStyle"/>
        </w:rPr>
        <w:t xml:space="preserve">Forwarding Rate: bis 14,88 Mpps</w:t>
      </w:r>
    </w:p>
    <w:p>
      <w:pPr>
        <w:pStyle w:val="p2Style"/>
      </w:pPr>
      <w:r>
        <w:rPr>
          <w:rStyle w:val="textStyle"/>
        </w:rPr>
        <w:t xml:space="preserve">Jumbo Frames bis 10K Bytes möglich</w:t>
      </w:r>
    </w:p>
    <w:p>
      <w:pPr>
        <w:pStyle w:val="p2Style"/>
      </w:pPr>
      <w:r>
        <w:rPr>
          <w:rStyle w:val="textStyle"/>
        </w:rPr>
        <w:t xml:space="preserve">Robustes Metallgehäuse, 271×181×44mm</w:t>
      </w:r>
    </w:p>
    <w:p>
      <w:pPr>
        <w:pStyle w:val="p2Style"/>
      </w:pPr>
      <w:r>
        <w:rPr>
          <w:rStyle w:val="textStyle"/>
        </w:rPr>
        <w:t xml:space="preserve">Betriebstemperaturbereich: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44.5x271x181.5mm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Betriebsanleitung,19\" Befestigungswinkel,Netzkabel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2026-07-03T16:52:05+00:00</dcterms:created>
  <dcterms:modified xsi:type="dcterms:W3CDTF">2026-07-03T16:52:05+00:00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