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INB-58F0308MLA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Ultra Low Light, 3840x2160, Tag/Nacht, WDR, AI, 3-8mm, PoE, 12V,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CMOS-Sensor, maximale Auflösung 8 MP/30fps</w:t>
      </w:r>
    </w:p>
    <w:p>
      <w:pPr>
        <w:pStyle w:val="p2Style"/>
      </w:pPr>
      <w:r>
        <w:rPr>
          <w:rStyle w:val="textStyle"/>
        </w:rPr>
        <w:t xml:space="preserve">Sehr hohe Lichtempfindlichkeit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und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F1,0/3,0-8,0mm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Audio, eingebauter Lautsprecher und Mikrofon</w:t>
      </w:r>
    </w:p>
    <w:p>
      <w:pPr>
        <w:pStyle w:val="p2Style"/>
      </w:pPr>
      <w:r>
        <w:rPr>
          <w:rStyle w:val="textStyle"/>
        </w:rPr>
        <w:t xml:space="preserve">Integrierte Abschreckung  Rot/Blau Licht, 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199.82 x 128.98 x 90.7mm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AX620A, 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28 - 60,2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13,3 - 29,9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6,1 - 14,8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71,6 - 150,2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Gesichtserfassung (FD), Gesichtserkennung (FR), Heat Map (HM), Kennzeichenerfassung (LPD), Kennzeichenerkennung (LPR), Linienüberquerung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(VGA),320x240 (QVGA)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2026-05-16T23:11:38+00:00</dcterms:created>
  <dcterms:modified xsi:type="dcterms:W3CDTF">2026-05-16T23:11:38+00:00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