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Speaker, Wall Mounted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aktiv, max 14W, Mono, SIP, Wand Montage, schwarz,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IP-Lautsprecher</w:t>
      </w:r>
    </w:p>
    <w:p>
      <w:pPr>
        <w:pStyle w:val="p2Style"/>
      </w:pPr>
      <w:r>
        <w:rPr>
          <w:rStyle w:val="textStyle"/>
        </w:rPr>
        <w:t xml:space="preserve">Integrierter 14W Leistungsverstärker</w:t>
      </w:r>
    </w:p>
    <w:p>
      <w:pPr>
        <w:pStyle w:val="p2Style"/>
      </w:pPr>
      <w:r>
        <w:rPr>
          <w:rStyle w:val="textStyle"/>
        </w:rPr>
        <w:t xml:space="preserve">Zweiter passiver Lautsprecher anschließbar</w:t>
      </w:r>
    </w:p>
    <w:p>
      <w:pPr>
        <w:pStyle w:val="p2Style"/>
      </w:pPr>
      <w:r>
        <w:rPr>
          <w:rStyle w:val="textStyle"/>
        </w:rPr>
        <w:t xml:space="preserve">Verschieden Broadcast Zonen im System möglich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Über SIP-Protokoll im Netzwerk adressierbar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Gehäusefarbe: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2026-09-27T20:44:15+00:00</dcterms:created>
  <dcterms:modified xsi:type="dcterms:W3CDTF">2026-09-27T20:44:15+00:00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