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TI8909 SAFETY PROTECTION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Schutzabdeckung in RAL 2004, Orange, für AXIS I8307-VE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Schutzklasse IK08</w:t>
      </w:r>
    </w:p>
    <w:p>
      <w:pPr>
        <w:pStyle w:val="p2Style"/>
      </w:pPr>
      <w:r>
        <w:rPr>
          <w:rStyle w:val="textStyle"/>
        </w:rPr>
        <w:t xml:space="preserve">Hellorange in RAL 2004</w:t>
      </w:r>
    </w:p>
    <w:p>
      <w:pPr>
        <w:pStyle w:val="p2Style"/>
      </w:pPr>
      <w:r>
        <w:rPr>
          <w:rStyle w:val="textStyle"/>
        </w:rPr>
        <w:t xml:space="preserve">Umlackierbar</w:t>
      </w:r>
    </w:p>
    <w:p>
      <w:pPr>
        <w:pStyle w:val="p2Style"/>
      </w:pPr>
      <w:r>
        <w:rPr>
          <w:rStyle w:val="textStyle"/>
        </w:rPr>
        <w:t xml:space="preserve">PVC-frei und BFR-/CFR-frei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7331021090231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2026-09-29T23:22:00+00:00</dcterms:created>
  <dcterms:modified xsi:type="dcterms:W3CDTF">2026-09-29T23:22:00+00:00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