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Multifunktionsgerät mit interaktivem Display, 4K UJHD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 ausgestattete 4K-Kamera</w:t>
      </w:r>
    </w:p>
    <w:p>
      <w:pPr>
        <w:pStyle w:val="p2Style"/>
      </w:pPr>
      <w:r>
        <w:rPr>
          <w:rStyle w:val="textStyle"/>
        </w:rPr>
        <w:t xml:space="preserve">Integrierter RFID-Leser mit Tastatur</w:t>
      </w:r>
    </w:p>
    <w:p>
      <w:pPr>
        <w:pStyle w:val="p2Style"/>
      </w:pPr>
      <w:r>
        <w:rPr>
          <w:rStyle w:val="textStyle"/>
        </w:rPr>
        <w:t xml:space="preserve">Anpassbarer Touchscreen</w:t>
      </w:r>
    </w:p>
    <w:p>
      <w:pPr>
        <w:pStyle w:val="p2Style"/>
      </w:pPr>
      <w:r>
        <w:rPr>
          <w:rStyle w:val="textStyle"/>
        </w:rPr>
        <w:t xml:space="preserve">Vandalismusgeschütztes Gerät mit Schutzart IP66/IK08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Prox,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M16 5-8 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Dichtung, für 5mm bis 8mm Kabeldurchmesser, schwarz, 10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TI8909 PROTECTION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Schutzabdeckung, für AXIS I8307-VE,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2026-09-21T22:25:42+00:00</dcterms:created>
  <dcterms:modified xsi:type="dcterms:W3CDTF">2026-09-21T22:25:42+00:00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