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Multifunktionsgerät mit interaktivem Display, 4K UJHD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 ausgestattete 4K-Kamera</w:t>
      </w:r>
    </w:p>
    <w:p>
      <w:pPr>
        <w:pStyle w:val="p2Style"/>
      </w:pPr>
      <w:r>
        <w:rPr>
          <w:rStyle w:val="textStyle"/>
        </w:rPr>
        <w:t xml:space="preserve">Integrierter RFID-Leser mit Tastatur</w:t>
      </w:r>
    </w:p>
    <w:p>
      <w:pPr>
        <w:pStyle w:val="p2Style"/>
      </w:pPr>
      <w:r>
        <w:rPr>
          <w:rStyle w:val="textStyle"/>
        </w:rPr>
        <w:t xml:space="preserve">Anpassbarer Touchscreen</w:t>
      </w:r>
    </w:p>
    <w:p>
      <w:pPr>
        <w:pStyle w:val="p2Style"/>
      </w:pPr>
      <w:r>
        <w:rPr>
          <w:rStyle w:val="textStyle"/>
        </w:rPr>
        <w:t xml:space="preserve">Vandalismusgeschütztes Gerät mit Schutzart IP66/IK08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Prox,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TI8909 PROTECTION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Schutzabdeckung, für AXIS I8307-VE,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2026-11-06T00:09:47+00:00</dcterms:created>
  <dcterms:modified xsi:type="dcterms:W3CDTF">2026-11-06T00:09:47+00:00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