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D6210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Auslösung automatischer Aktionen</w:t>
      </w:r>
    </w:p>
    <w:p>
      <w:pPr>
        <w:pStyle w:val="p2Style"/>
      </w:pPr>
      <w:r>
        <w:rPr>
          <w:rStyle w:val="textStyle"/>
        </w:rPr>
        <w:t xml:space="preserve">Portcast ermöglicht einfache Anbindung an ein System</w:t>
      </w:r>
    </w:p>
    <w:p>
      <w:pPr>
        <w:pStyle w:val="p2Style"/>
      </w:pPr>
      <w:r>
        <w:rPr>
          <w:rStyle w:val="textStyle"/>
        </w:rPr>
        <w:t xml:space="preserve">Erweiterte Funktionalität mit kompatiblen Axis Geräten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