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Anti-Korrosion,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24/7-Farbbild dank ColorVu-Technologie</w:t>
      </w:r>
    </w:p>
    <w:p>
      <w:pPr>
        <w:pStyle w:val="p2Style"/>
      </w:pPr>
      <w:r>
        <w:rPr>
          <w:rStyle w:val="textStyle"/>
        </w:rPr>
        <w:t xml:space="preserve">Szenenadaptiver WDR</w:t>
      </w:r>
    </w:p>
    <w:p>
      <w:pPr>
        <w:pStyle w:val="p2Style"/>
      </w:pPr>
      <w:r>
        <w:rPr>
          <w:rStyle w:val="textStyle"/>
        </w:rPr>
        <w:t xml:space="preserve">Fokus auf Personen- und Fahrzeugklassifizierung basierend auf Deep Learning</w:t>
      </w:r>
    </w:p>
    <w:p>
      <w:pPr>
        <w:pStyle w:val="p2Style"/>
      </w:pPr>
      <w:r>
        <w:rPr>
          <w:rStyle w:val="textStyle"/>
        </w:rPr>
        <w:t xml:space="preserve">Motorisiertes Varioobjektiv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HTTP, HTTPS, IPv4, IPv6, QoS, RTP, RTSP, SMTP, SSL,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2026-10-29T03:20:39+00:00</dcterms:created>
  <dcterms:modified xsi:type="dcterms:W3CDTF">2026-10-29T03:20:39+00:00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