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PNO-A9311RLP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31x MVF, H.265, IR, IP66/67, IK10,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4K-Auflösung 3840x2160 Pixel</w:t>
      </w:r>
    </w:p>
    <w:p>
      <w:pPr>
        <w:pStyle w:val="p2Style"/>
      </w:pPr>
      <w:r>
        <w:rPr>
          <w:rStyle w:val="textStyle"/>
        </w:rPr>
        <w:t xml:space="preserve">Motorisiertes Vari Fokal Objektiv 6.91~214.7mm (31x)</w:t>
      </w:r>
    </w:p>
    <w:p>
      <w:pPr>
        <w:pStyle w:val="p2Style"/>
      </w:pPr>
      <w:r>
        <w:rPr>
          <w:rStyle w:val="textStyle"/>
        </w:rPr>
        <w:t xml:space="preserve">IR sichtbare Reichweite 70m</w:t>
      </w:r>
    </w:p>
    <w:p>
      <w:pPr>
        <w:pStyle w:val="p2Style"/>
      </w:pPr>
      <w:r>
        <w:rPr>
          <w:rStyle w:val="textStyle"/>
        </w:rPr>
        <w:t xml:space="preserve">Verstärkte Haltbarkeit (IP66/IP67, IK10, NEMA4X)</w:t>
      </w:r>
    </w:p>
    <w:p>
      <w:pPr>
        <w:pStyle w:val="p2Style"/>
      </w:pPr>
      <w:r>
        <w:rPr>
          <w:rStyle w:val="textStyle"/>
        </w:rPr>
        <w:t xml:space="preserve">ONVIF-Profil S/G/T/M, SUNAPI(HTTP API)</w:t>
      </w:r>
    </w:p>
    <w:p>
      <w:pPr>
        <w:pStyle w:val="p2Style"/>
      </w:pPr>
      <w:r>
        <w:rPr>
          <w:rStyle w:val="textStyle"/>
        </w:rPr>
        <w:t xml:space="preserve">Cybersicherheit auf höchstem Niveau durch</w:t>
      </w:r>
    </w:p>
    <w:p>
      <w:pPr>
        <w:pStyle w:val="p2Style"/>
      </w:pPr>
      <w:r>
        <w:rPr>
          <w:rStyle w:val="textStyle"/>
        </w:rPr>
        <w:t xml:space="preserve">(TPM mit FIPS 140-2 level2)</w:t>
      </w:r>
    </w:p>
    <w:p>
      <w:pPr>
        <w:pStyle w:val="p2Style"/>
      </w:pPr>
      <w:r>
        <w:rPr>
          <w:rStyle w:val="textStyle"/>
        </w:rPr>
        <w:t xml:space="preserve">Wisenet Road AI Anwendung (vorinstalliert)</w:t>
      </w:r>
    </w:p>
    <w:p>
      <w:pPr>
        <w:pStyle w:val="p2Style"/>
      </w:pPr>
      <w:r>
        <w:rPr>
          <w:rStyle w:val="textStyle"/>
        </w:rPr>
        <w:t xml:space="preserve">Kennzeichen-/Nummernschild-Erkennung</w:t>
      </w:r>
    </w:p>
    <w:p>
      <w:pPr>
        <w:pStyle w:val="p2Style"/>
      </w:pPr>
      <w:r>
        <w:rPr>
          <w:rStyle w:val="textStyle"/>
        </w:rPr>
        <w:t xml:space="preserve">Erkennung von Marke/Modell/Farbe</w:t>
      </w:r>
    </w:p>
    <w:p>
      <w:pPr>
        <w:pStyle w:val="p2Style"/>
      </w:pPr>
      <w:r>
        <w:rPr>
          <w:rStyle w:val="textStyle"/>
        </w:rPr>
        <w:t xml:space="preserve">Schwarz/Weiß-Listen-Benachrichtigung</w:t>
      </w:r>
    </w:p>
    <w:p>
      <w:pPr>
        <w:pStyle w:val="p2Style"/>
      </w:pPr>
      <w:r>
        <w:rPr>
          <w:rStyle w:val="textStyle"/>
        </w:rPr>
        <w:t xml:space="preserve">Intelligente Suche (LP/NP, Land, Marke, Modell, Farbe)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 Lux (F1,36,1/30sec.,30IRE)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PNO-A9311RLP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2026-06-16T17:30:02+00:00</dcterms:created>
  <dcterms:modified xsi:type="dcterms:W3CDTF">2026-06-16T17:30:02+00:00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