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PNO-A9311RLP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31x MVF, H.265, IR, IP66/67, IK10,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4K-Auflösung 3840x2160 Pixel</w:t>
      </w:r>
    </w:p>
    <w:p>
      <w:pPr>
        <w:pStyle w:val="p2Style"/>
      </w:pPr>
      <w:r>
        <w:rPr>
          <w:rStyle w:val="textStyle"/>
        </w:rPr>
        <w:t xml:space="preserve">Motorisiertes Vari Fokal Objektiv 6.91~214.7mm (31x)</w:t>
      </w:r>
    </w:p>
    <w:p>
      <w:pPr>
        <w:pStyle w:val="p2Style"/>
      </w:pPr>
      <w:r>
        <w:rPr>
          <w:rStyle w:val="textStyle"/>
        </w:rPr>
        <w:t xml:space="preserve">IR sichtbare Reichweite 70m</w:t>
      </w:r>
    </w:p>
    <w:p>
      <w:pPr>
        <w:pStyle w:val="p2Style"/>
      </w:pPr>
      <w:r>
        <w:rPr>
          <w:rStyle w:val="textStyle"/>
        </w:rPr>
        <w:t xml:space="preserve">Verstärkte Haltbarkeit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Cybersicherheit auf höchstem Niveau durch</w:t>
      </w:r>
    </w:p>
    <w:p>
      <w:pPr>
        <w:pStyle w:val="p2Style"/>
      </w:pPr>
      <w:r>
        <w:rPr>
          <w:rStyle w:val="textStyle"/>
        </w:rPr>
        <w:t xml:space="preserve">(TPM mit FIPS 140-2 level2)</w:t>
      </w:r>
    </w:p>
    <w:p>
      <w:pPr>
        <w:pStyle w:val="p2Style"/>
      </w:pPr>
      <w:r>
        <w:rPr>
          <w:rStyle w:val="textStyle"/>
        </w:rPr>
        <w:t xml:space="preserve">Wisenet Road AI Anwendung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Lux (F1,36,1/30sec.,30IRE)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PNO-A9311RLP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2026-09-14T22:11:01+00:00</dcterms:created>
  <dcterms:modified xsi:type="dcterms:W3CDTF">2026-09-14T22:11:01+00:00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