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MHW-S380RB-SC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Managementserver Standard Application American English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Leistung</w:t>
      </w:r>
    </w:p>
    <w:p>
      <w:pPr>
        <w:pStyle w:val="p2Style"/>
      </w:pPr>
      <w:r>
        <w:rPr>
          <w:rStyle w:val="textStyle"/>
        </w:rPr>
        <w:t xml:space="preserve">12-Kern-Prozessor Intel Xeon Silver 4410Y</w:t>
      </w:r>
    </w:p>
    <w:p>
      <w:pPr>
        <w:pStyle w:val="p2Style"/>
      </w:pPr>
      <w:r>
        <w:rPr>
          <w:rStyle w:val="textStyle"/>
        </w:rPr>
        <w:t xml:space="preserve">Vorbereitet für iLO Power Management</w:t>
      </w:r>
    </w:p>
    <w:p>
      <w:pPr>
        <w:pStyle w:val="p2Style"/>
      </w:pPr>
      <w:r>
        <w:rPr>
          <w:rStyle w:val="textStyle"/>
        </w:rPr>
        <w:t xml:space="preserve">32 GB (1 x 32 GB) DDR5-4800 Registered Smart Memory Kit</w:t>
      </w:r>
    </w:p>
    <w:p>
      <w:pPr>
        <w:pStyle w:val="p2Style"/>
      </w:pPr>
      <w:r>
        <w:rPr>
          <w:rStyle w:val="textStyle"/>
        </w:rPr>
        <w:t xml:space="preserve">1 x 2-Port-10-Gigabit-Server-Adapter</w:t>
      </w:r>
    </w:p>
    <w:p>
      <w:pPr>
        <w:pStyle w:val="p2Style"/>
      </w:pPr>
      <w:r>
        <w:rPr>
          <w:rStyle w:val="textStyle"/>
        </w:rPr>
        <w:t xml:space="preserve">2U-Rack für den Einsatz in 19"-Racks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4060039202833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MHW-AWLCK-UK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Tatstatur, UK, für Bosch BVMS 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2026-07-25T12:35:31+00:00</dcterms:created>
  <dcterms:modified xsi:type="dcterms:W3CDTF">2026-07-25T12:35:31+00:00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