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Q2112-E 25 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25mm, 30fps, 640x480, 24° FoV, IP66/67,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Erfassung mit hoher Auflösung, geringe Falschalarmrate</w:t>
      </w:r>
    </w:p>
    <w:p>
      <w:pPr>
        <w:pStyle w:val="p2Style"/>
      </w:pPr>
      <w:r>
        <w:rPr>
          <w:rStyle w:val="textStyle"/>
        </w:rPr>
        <w:t xml:space="preserve">Fünf verfügbare Objektivoptionen</w:t>
      </w:r>
    </w:p>
    <w:p>
      <w:pPr>
        <w:pStyle w:val="p2Style"/>
      </w:pPr>
      <w:r>
        <w:rPr>
          <w:rStyle w:val="textStyle"/>
        </w:rPr>
        <w:t xml:space="preserve">Flexible Montagemöglichkeiten</w:t>
      </w:r>
    </w:p>
    <w:p>
      <w:pPr>
        <w:pStyle w:val="p2Style"/>
      </w:pPr>
      <w:r>
        <w:rPr>
          <w:rStyle w:val="textStyle"/>
        </w:rPr>
        <w:t xml:space="preserve">Unterstützung leistungsfähiger Analysefunktionen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MB RAM, 8192 MB Flash,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02608-001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2026-07-21T08:37:51+00:00</dcterms:created>
  <dcterms:modified xsi:type="dcterms:W3CDTF">2026-07-21T08:37:51+00:00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