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Q1972-E 10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10mm, 30ps, 640x480, 63° FoV, IP66/67,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Erkennung 24/7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Kompakte, robuste, halogenfreie Konstruktion</w:t>
      </w:r>
    </w:p>
    <w:p>
      <w:pPr>
        <w:pStyle w:val="p2Style"/>
      </w:pPr>
      <w:r>
        <w:rPr>
          <w:rStyle w:val="textStyle"/>
        </w:rPr>
        <w:t xml:space="preserve">Unterstützung für KI-basierte Analysefunktionen</w:t>
      </w:r>
    </w:p>
    <w:p>
      <w:pPr>
        <w:pStyle w:val="p2Style"/>
      </w:pPr>
      <w:r>
        <w:rPr>
          <w:rStyle w:val="textStyle"/>
        </w:rPr>
        <w:t xml:space="preserve">Elektronischer Bildstabilisator (EIS)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 MB RAM, 8192 MB Flash,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7331021087996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03027-001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T98A17-VE,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2026-10-18T23:56:52+00:00</dcterms:created>
  <dcterms:modified xsi:type="dcterms:W3CDTF">2026-10-18T23:56:52+00:00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