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TNV-C8034RM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6,0mm,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6,0 mm Brennweite</w:t>
      </w:r>
    </w:p>
    <w:p>
      <w:pPr>
        <w:pStyle w:val="p2Style"/>
      </w:pPr>
      <w:r>
        <w:rPr>
          <w:rStyle w:val="textStyle"/>
        </w:rPr>
        <w:t xml:space="preserve">Empfindlichkeit Farbe: 0,03Lux(F1.6,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TNV-C8034RM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2026-05-22T10:23:54+00:00</dcterms:created>
  <dcterms:modified xsi:type="dcterms:W3CDTF">2026-05-22T10:23:54+00:00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