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TNV-C8034RM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flaches Gehäuse, Tag/Nacht, 6,0mm, 2592x1944, PoE, IP66, IK10,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max. 5MP</w:t>
      </w:r>
    </w:p>
    <w:p>
      <w:pPr>
        <w:pStyle w:val="p2Style"/>
      </w:pPr>
      <w:r>
        <w:rPr>
          <w:rStyle w:val="textStyle"/>
        </w:rPr>
        <w:t xml:space="preserve">Objektiv 6,0 mm Brennweite</w:t>
      </w:r>
    </w:p>
    <w:p>
      <w:pPr>
        <w:pStyle w:val="p2Style"/>
      </w:pPr>
      <w:r>
        <w:rPr>
          <w:rStyle w:val="textStyle"/>
        </w:rPr>
        <w:t xml:space="preserve">Empfindlichkeit Farbe: 0,03Lux(F1.6, 1/30sec)</w:t>
      </w:r>
    </w:p>
    <w:p>
      <w:pPr>
        <w:pStyle w:val="p2Style"/>
      </w:pPr>
      <w:r>
        <w:rPr>
          <w:rStyle w:val="textStyle"/>
        </w:rPr>
        <w:t xml:space="preserve">Maximum 30fps@5MP (H.265/H.264 )</w:t>
      </w:r>
    </w:p>
    <w:p>
      <w:pPr>
        <w:pStyle w:val="p2Style"/>
      </w:pPr>
      <w:r>
        <w:rPr>
          <w:rStyle w:val="textStyle"/>
        </w:rPr>
        <w:t xml:space="preserve">IR-Sichtweite 30m</w:t>
      </w:r>
    </w:p>
    <w:p>
      <w:pPr>
        <w:pStyle w:val="p2Style"/>
      </w:pPr>
      <w:r>
        <w:rPr>
          <w:rStyle w:val="textStyle"/>
        </w:rPr>
        <w:t xml:space="preserve">Hartbeschichtete Dome-Kuppel</w:t>
      </w:r>
    </w:p>
    <w:p>
      <w:pPr>
        <w:pStyle w:val="p2Style"/>
      </w:pPr>
      <w:r>
        <w:rPr>
          <w:rStyle w:val="textStyle"/>
        </w:rPr>
        <w:t xml:space="preserve">EIS, Stoßerkennung, Heizung, integriertes Mikrofon</w:t>
      </w:r>
    </w:p>
    <w:p>
      <w:pPr>
        <w:pStyle w:val="p2Style"/>
      </w:pPr>
      <w:r>
        <w:rPr>
          <w:rStyle w:val="textStyle"/>
        </w:rPr>
        <w:t xml:space="preserve">H.265, H.264, MJPEG, WiseStream (mit KI-Engine)</w:t>
      </w:r>
    </w:p>
    <w:p>
      <w:pPr>
        <w:pStyle w:val="p2Style"/>
      </w:pPr>
      <w:r>
        <w:rPr>
          <w:rStyle w:val="textStyle"/>
        </w:rPr>
        <w:t xml:space="preserve">Analytische Ereignisse basierend auf KI-Engine (NPU)</w:t>
      </w:r>
    </w:p>
    <w:p>
      <w:pPr>
        <w:pStyle w:val="p2Style"/>
      </w:pPr>
      <w:r>
        <w:rPr>
          <w:rStyle w:val="textStyle"/>
        </w:rPr>
        <w:t xml:space="preserve">EN50155-Konformität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PoE: Max. 7,2 W,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TNV-C8034RM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Kit für TNV-C8014RM, TNV-C8034RM inklusive Montageplatte und M auf RJ45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2026-10-04T19:57:54+00:00</dcterms:created>
  <dcterms:modified xsi:type="dcterms:W3CDTF">2026-10-04T19:57:54+00:00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