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TNV-C8014RM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3,0mm,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3,0 mm Brennweite</w:t>
      </w:r>
    </w:p>
    <w:p>
      <w:pPr>
        <w:pStyle w:val="p2Style"/>
      </w:pPr>
      <w:r>
        <w:rPr>
          <w:rStyle w:val="textStyle"/>
        </w:rPr>
        <w:t xml:space="preserve">Empfindlichkeit Farbe: 0,03Lux(F1,6,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TNV-C8014RM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2026-10-04T19:57:52+00:00</dcterms:created>
  <dcterms:modified xsi:type="dcterms:W3CDTF">2026-10-04T19:57:52+00:00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