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DS-2CD3046G3-LIUY/SL(2.8mm)(eF)(O-STD)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Alarm, Audio, Infrarot, Weißlicht,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 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farbechte Bildgebung dank Darkfighter 2.0-Technologie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Bietet 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-Y: Korrosionsbeständiges Design, das im Vergleich zu Standardmodellen Zuverlässigkeit und Langlebigkeit bietet (NEMA4X)</w:t>
      </w:r>
    </w:p>
    <w:p>
      <w:pPr>
        <w:pStyle w:val="p2Style"/>
      </w:pPr>
      <w:r>
        <w:rPr>
          <w:rStyle w:val="textStyle"/>
        </w:rPr>
        <w:t xml:space="preserve">Smart Hybrid Light: Integriert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CE,CB,RoHS,IP67,IK10,NEMA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0.0001 Lux (Farbe),0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6936422118051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Ultra Serie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2026-10-19T15:05:24+00:00</dcterms:created>
  <dcterms:modified xsi:type="dcterms:W3CDTF">2026-10-19T15:05:24+00:00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