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PNM-C16083RQZ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16MP, 4 x 4MP, IR, 3,2-10,2mm MVF, WDR, IP66, IK10, PoE+,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KI-Engine-basierte Analyse-Ereignisse:</w:t>
      </w:r>
    </w:p>
    <w:p>
      <w:pPr>
        <w:pStyle w:val="p2Style"/>
      </w:pPr>
      <w:r>
        <w:rPr>
          <w:rStyle w:val="textStyle"/>
        </w:rPr>
        <w:t xml:space="preserve">Objekterkennung(Personen/Gesichter/Fahrzeuge/Kennzeichen),</w:t>
      </w:r>
    </w:p>
    <w:p>
      <w:pPr>
        <w:pStyle w:val="p2Style"/>
      </w:pPr>
      <w:r>
        <w:rPr>
          <w:rStyle w:val="textStyle"/>
        </w:rPr>
        <w:t xml:space="preserve">virtuelle Linien (Passieren/Richtung),</w:t>
      </w:r>
    </w:p>
    <w:p>
      <w:pPr>
        <w:pStyle w:val="p2Style"/>
      </w:pPr>
      <w:r>
        <w:rPr>
          <w:rStyle w:val="textStyle"/>
        </w:rPr>
        <w:t xml:space="preserve">virtuelle Bereiche (Umherwandern/Eindringen/Einsteigen/Aussteigen)</w:t>
      </w:r>
    </w:p>
    <w:p>
      <w:pPr>
        <w:pStyle w:val="p2Style"/>
      </w:pPr>
      <w:r>
        <w:rPr>
          <w:rStyle w:val="textStyle"/>
        </w:rPr>
        <w:t xml:space="preserve">Fahrzeuge (Typ: Auto/Bus/Lkw/Motorrad/Fahrrad,Farbe),</w:t>
      </w:r>
    </w:p>
    <w:p>
      <w:pPr>
        <w:pStyle w:val="p2Style"/>
      </w:pPr>
      <w:r>
        <w:rPr>
          <w:rStyle w:val="textStyle"/>
        </w:rPr>
        <w:t xml:space="preserve">Personen (Farbe der Kleidung)</w:t>
      </w:r>
    </w:p>
    <w:p>
      <w:pPr>
        <w:pStyle w:val="p2Style"/>
      </w:pPr>
      <w:r>
        <w:rPr>
          <w:rStyle w:val="textStyle"/>
        </w:rPr>
        <w:t xml:space="preserve">BestShot-Unterstützung</w:t>
      </w:r>
    </w:p>
    <w:p>
      <w:pPr>
        <w:pStyle w:val="p2Style"/>
      </w:pPr>
      <w:r>
        <w:rPr>
          <w:rStyle w:val="textStyle"/>
        </w:rPr>
        <w:t xml:space="preserve">KI-basierte WiseNRII, Auto prefer shutter control, WiseStreamIII</w:t>
      </w:r>
    </w:p>
    <w:p>
      <w:pPr>
        <w:pStyle w:val="p2Style"/>
      </w:pPr>
      <w:r>
        <w:rPr>
          <w:rStyle w:val="textStyle"/>
        </w:rPr>
        <w:t xml:space="preserve">PTRZ-Steuerung: Objektivposition/Winkel aus der Ferne einstellen</w:t>
      </w:r>
    </w:p>
    <w:p>
      <w:pPr>
        <w:pStyle w:val="p2Style"/>
      </w:pPr>
      <w:r>
        <w:rPr>
          <w:rStyle w:val="textStyle"/>
        </w:rPr>
        <w:t xml:space="preserve">IR-Sichtbarkeit: Bis zu 20 m</w:t>
      </w:r>
    </w:p>
    <w:p>
      <w:pPr>
        <w:pStyle w:val="p2Style"/>
      </w:pPr>
      <w:r>
        <w:rPr>
          <w:rStyle w:val="textStyle"/>
        </w:rPr>
        <w:t xml:space="preserve">Höchste Cybersicherheit (TPM 2.0 mit FIPS 140-2 Level 2)</w:t>
      </w:r>
    </w:p>
    <w:p>
      <w:pPr>
        <w:pStyle w:val="p2Style"/>
      </w:pPr>
      <w:r>
        <w:rPr>
          <w:rStyle w:val="textStyle"/>
        </w:rPr>
        <w:t xml:space="preserve">Verstärkte Widerstandsfähigkeit (IP66, IK10, 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PNM-C16083RQZ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Aluminium, weiß, TR20, kompatibel zu PNM-9084RQZ, PNM-9085RQZ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2026-10-19T15:06:06+00:00</dcterms:created>
  <dcterms:modified xsi:type="dcterms:W3CDTF">2026-10-19T15:06:06+00:00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