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S2212 MK II 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 IP Kanäle, 6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12 Lizenzen für AXIS Camera Station Pro</w:t>
      </w:r>
    </w:p>
    <w:p>
      <w:pPr>
        <w:pStyle w:val="p2Style"/>
      </w:pPr>
      <w:r>
        <w:rPr>
          <w:rStyle w:val="textStyle"/>
        </w:rPr>
        <w:t xml:space="preserve">Leise – keine Störung des Betriebs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2026-06-05T19:56:48+00:00</dcterms:created>
  <dcterms:modified xsi:type="dcterms:W3CDTF">2026-06-05T19:56:48+00:00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