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S2208 MK II 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4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8 Lizenzen für AXIS Camera Station Pro</w:t>
      </w:r>
    </w:p>
    <w:p>
      <w:pPr>
        <w:pStyle w:val="p2Style"/>
      </w:pPr>
      <w:r>
        <w:rPr>
          <w:rStyle w:val="textStyle"/>
        </w:rPr>
        <w:t xml:space="preserve">Leise – keine Störung des Betriebs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