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IP65,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Schlanke IP-Türsprechanlage für Reinräume</w:t>
      </w:r>
    </w:p>
    <w:p>
      <w:pPr>
        <w:pStyle w:val="p2Style"/>
      </w:pPr>
      <w:r>
        <w:rPr>
          <w:rStyle w:val="textStyle"/>
        </w:rPr>
        <w:t xml:space="preserve">Ausgezeichnete Echo- und Rauschunterdrückung</w:t>
      </w:r>
    </w:p>
    <w:p>
      <w:pPr>
        <w:pStyle w:val="p2Style"/>
      </w:pPr>
      <w:r>
        <w:rPr>
          <w:rStyle w:val="textStyle"/>
        </w:rPr>
        <w:t xml:space="preserve">Zertifiziert nach ISO 14644-1 Klasse 3–9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14644-1 Klasse 3 bis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2026-05-09T15:32:48+00:00</dcterms:created>
  <dcterms:modified xsi:type="dcterms:W3CDTF">2026-05-09T15:32:48+00:00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