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FMC-07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große Displays von 55" bis 86"</w:t>
      </w:r>
    </w:p>
    <w:p>
      <w:pPr>
        <w:pStyle w:val="p2Style"/>
      </w:pPr>
      <w:r>
        <w:rPr>
          <w:rStyle w:val="textStyle"/>
        </w:rPr>
        <w:t xml:space="preserve">Maximale Tragkraft 100 kg</w:t>
      </w:r>
    </w:p>
    <w:p>
      <w:pPr>
        <w:pStyle w:val="p2Style"/>
      </w:pPr>
      <w:r>
        <w:rPr>
          <w:rStyle w:val="textStyle"/>
        </w:rPr>
        <w:t xml:space="preserve">Spezielles Ablagefach für Zubehör</w:t>
      </w:r>
    </w:p>
    <w:p>
      <w:pPr>
        <w:pStyle w:val="p2Style"/>
      </w:pPr>
      <w:r>
        <w:rPr>
          <w:rStyle w:val="textStyle"/>
        </w:rPr>
        <w:t xml:space="preserve">Verriegelbare Rollen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FMC0701100000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2026-05-21T18:27:47+00:00</dcterms:created>
  <dcterms:modified xsi:type="dcterms:W3CDTF">2026-05-21T18:27:47+00:00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