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MVC-IVA-MMR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 für Bosch MVC-IVA-BLD, Fahrzeugmarke/modell Erkennung, Bosch IVA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Videoanalyse für Fahrzeugmarke/-modell</w:t>
      </w:r>
    </w:p>
    <w:p>
      <w:pPr>
        <w:pStyle w:val="p2Style"/>
      </w:pPr>
      <w:r>
        <w:rPr>
          <w:rStyle w:val="textStyle"/>
        </w:rPr>
        <w:t xml:space="preserve">ermöglicht eine vereinfachte forensische Suche</w:t>
      </w:r>
    </w:p>
    <w:p>
      <w:pPr>
        <w:pStyle w:val="p2Style"/>
      </w:pPr>
      <w:r>
        <w:rPr>
          <w:rStyle w:val="textStyle"/>
        </w:rPr>
        <w:t xml:space="preserve">Einfache Konfiguration und Kalibrierung.</w:t>
      </w:r>
    </w:p>
    <w:p>
      <w:pPr>
        <w:pStyle w:val="p2Style"/>
      </w:pPr>
      <w:r>
        <w:rPr>
          <w:rStyle w:val="textStyle"/>
        </w:rPr>
        <w:t xml:space="preserve">Lizenz für geeignete Kameras.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F.01U.425.433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Intelligent Video Analytics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2026-08-20T15:18:02+00:00</dcterms:created>
  <dcterms:modified xsi:type="dcterms:W3CDTF">2026-08-20T15:18:02+00:00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