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MVC-IVA-DGS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Gefahrenguttafeln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Gefahrenguttafeln</w:t>
      </w:r>
    </w:p>
    <w:p>
      <w:pPr>
        <w:pStyle w:val="p2Style"/>
      </w:pPr>
      <w:r>
        <w:rPr>
          <w:rStyle w:val="textStyle"/>
        </w:rPr>
        <w:t xml:space="preserve">Erkennt und detekt den Inhalt von Gefahrgutkennzeichen</w:t>
      </w:r>
    </w:p>
    <w:p>
      <w:pPr>
        <w:pStyle w:val="p2Style"/>
      </w:pPr>
      <w:r>
        <w:rPr>
          <w:rStyle w:val="textStyle"/>
        </w:rPr>
        <w:t xml:space="preserve">Ideal für Stop und Go Szenarien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2026-08-15T16:42:17+00:00</dcterms:created>
  <dcterms:modified xsi:type="dcterms:W3CDTF">2026-08-15T16:42:17+00:00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