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MVC-IVA-DGS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Gefahrenguttafeln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Gefahrenguttafeln</w:t>
      </w:r>
    </w:p>
    <w:p>
      <w:pPr>
        <w:pStyle w:val="p2Style"/>
      </w:pPr>
      <w:r>
        <w:rPr>
          <w:rStyle w:val="textStyle"/>
        </w:rPr>
        <w:t xml:space="preserve">Erkennt und detekt den Inhalt von Gefahrgutkennzeichen</w:t>
      </w:r>
    </w:p>
    <w:p>
      <w:pPr>
        <w:pStyle w:val="p2Style"/>
      </w:pPr>
      <w:r>
        <w:rPr>
          <w:rStyle w:val="textStyle"/>
        </w:rPr>
        <w:t xml:space="preserve">Ideal für Stop und Go Szenarien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2026-09-29T17:41:14+00:00</dcterms:created>
  <dcterms:modified xsi:type="dcterms:W3CDTF">2026-09-29T17:41:14+00:00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