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MultiSensor Detektionssystem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Integrierte Sensor Fusion Engine, Überwachungsbereich ca. 12m x 5m, Werkzeugsatz, IP54, Power over Ethernet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KI-gestützte Sensor Fusion-Engine</w:t>
      </w:r>
    </w:p>
    <w:p>
      <w:pPr>
        <w:pStyle w:val="p2Style"/>
      </w:pPr>
      <w:r>
        <w:rPr>
          <w:rStyle w:val="textStyle"/>
        </w:rPr>
        <w:t xml:space="preserve">Kurzstreckenradar, Bildsensor, Dual-PIR, Beschleunigungssensor, Hochfrequenzsensor</w:t>
      </w:r>
    </w:p>
    <w:p>
      <w:pPr>
        <w:pStyle w:val="p2Style"/>
      </w:pPr>
      <w:r>
        <w:rPr>
          <w:rStyle w:val="textStyle"/>
        </w:rPr>
        <w:t xml:space="preserve">Falschalarme, die durch Wind, Schatten, lose Schilder, Gestrüpp und Hintergrundaktivitäten verursacht werden, werden praktisch eliminiert.</w:t>
      </w:r>
    </w:p>
    <w:p>
      <w:pPr>
        <w:pStyle w:val="p2Style"/>
      </w:pPr>
      <w:r>
        <w:rPr>
          <w:rStyle w:val="textStyle"/>
        </w:rPr>
        <w:t xml:space="preserve">Detektionsfläche (Breite/Tiefe): 12 x 5 m</w:t>
      </w:r>
    </w:p>
    <w:p>
      <w:pPr>
        <w:pStyle w:val="p2Style"/>
      </w:pPr>
      <w:r>
        <w:rPr>
          <w:rStyle w:val="textStyle"/>
        </w:rPr>
        <w:t xml:space="preserve">Ideale Montagehöhe: 2,4 bis 3,7 m</w:t>
      </w:r>
    </w:p>
    <w:p>
      <w:pPr>
        <w:pStyle w:val="p2Style"/>
      </w:pPr>
      <w:r>
        <w:rPr>
          <w:rStyle w:val="textStyle"/>
        </w:rPr>
        <w:t xml:space="preserve">IP54</w:t>
      </w:r>
    </w:p>
    <w:p>
      <w:pPr>
        <w:pStyle w:val="p2Style"/>
      </w:pPr>
      <w:r>
        <w:rPr>
          <w:rStyle w:val="textStyle"/>
        </w:rPr>
        <w:t xml:space="preserve">Betriebstemperatur: -30 bis +60°C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E9FG0100-001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MultiSensor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2026-11-01T19:19:26+00:00</dcterms:created>
  <dcterms:modified xsi:type="dcterms:W3CDTF">2026-11-01T19:19:26+00:00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