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 oder Empfänger mit FBAS Ein-/Ausgang, BNC-Klemmblock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über CAT 5e(6) UTP-Kabel</w:t>
      </w:r>
    </w:p>
    <w:p>
      <w:pPr>
        <w:pStyle w:val="p2Style"/>
      </w:pPr>
      <w:r>
        <w:rPr>
          <w:rStyle w:val="textStyle"/>
        </w:rPr>
        <w:t xml:space="preserve">Bis zu 400m Farbe / 600m SW (ungeschirmtes Kabel)</w:t>
      </w:r>
    </w:p>
    <w:p>
      <w:pPr>
        <w:pStyle w:val="p2Style"/>
      </w:pPr>
      <w:r>
        <w:rPr>
          <w:rStyle w:val="textStyle"/>
        </w:rPr>
        <w:t xml:space="preserve">Ca. 200m Farbe / 300m SW (geschirmtes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 Stecker / 2-pol.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2026-06-28T00:15:59+00:00</dcterms:created>
  <dcterms:modified xsi:type="dcterms:W3CDTF">2026-06-28T00:15:59+00:00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