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Curtain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8 - 12 m, IP55,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Infrarotsensoren und ein Mikrowellensensor</w:t>
      </w:r>
    </w:p>
    <w:p>
      <w:pPr>
        <w:pStyle w:val="p2Style"/>
      </w:pPr>
      <w:r>
        <w:rPr>
          <w:rStyle w:val="textStyle"/>
        </w:rPr>
        <w:t xml:space="preserve">Vertikaler Erfassungswinkel: 85° ohne toten Winkel unter dem Melder</w:t>
      </w:r>
    </w:p>
    <w:p>
      <w:pPr>
        <w:pStyle w:val="p2Style"/>
      </w:pPr>
      <w:r>
        <w:rPr>
          <w:rStyle w:val="textStyle"/>
        </w:rPr>
        <w:t xml:space="preserve">Horizontaler Erfassungswinkel: 8°</w:t>
      </w:r>
    </w:p>
    <w:p>
      <w:pPr>
        <w:pStyle w:val="p2Style"/>
      </w:pPr>
      <w:r>
        <w:rPr>
          <w:rStyle w:val="textStyle"/>
        </w:rPr>
        <w:t xml:space="preserve">SmartDetect und Bewegungserkennungsalgorithmus mit dualer Technologie zur Vermeidung von Fehlauslösungen</w:t>
      </w:r>
    </w:p>
    <w:p>
      <w:pPr>
        <w:pStyle w:val="p2Style"/>
      </w:pPr>
      <w:r>
        <w:rPr>
          <w:rStyle w:val="textStyle"/>
        </w:rPr>
        <w:t xml:space="preserve">Anti-Masking-System, das die Grade 2-Anforderungen erf1/4llt</w:t>
      </w:r>
    </w:p>
    <w:p>
      <w:pPr>
        <w:pStyle w:val="p2Style"/>
      </w:pPr>
      <w:r>
        <w:rPr>
          <w:rStyle w:val="textStyle"/>
        </w:rPr>
        <w:t xml:space="preserve">Sabotagealarm und integrierter Beschleunigungssensor melden Demontageversuche</w:t>
      </w:r>
    </w:p>
    <w:p>
      <w:pPr>
        <w:pStyle w:val="p2Style"/>
      </w:pPr>
      <w:r>
        <w:rPr>
          <w:rStyle w:val="textStyle"/>
        </w:rPr>
        <w:t xml:space="preserve">Funkreichweite: bis zu 1700 m</w:t>
      </w:r>
    </w:p>
    <w:p>
      <w:pPr>
        <w:pStyle w:val="p2Style"/>
      </w:pPr>
      <w:r>
        <w:rPr>
          <w:rStyle w:val="textStyle"/>
        </w:rPr>
        <w:t xml:space="preserve">BlockVerschlüsselung für erhhten Datenschutz</w:t>
      </w:r>
    </w:p>
    <w:p>
      <w:pPr>
        <w:pStyle w:val="p2Style"/>
      </w:pPr>
      <w:r>
        <w:rPr>
          <w:rStyle w:val="textStyle"/>
        </w:rPr>
        <w:t xml:space="preserve">Berechnete Batterielebensdauer: bis zu 3 Jahre</w:t>
      </w:r>
    </w:p>
    <w:p>
      <w:pPr>
        <w:pStyle w:val="p2Style"/>
      </w:pPr>
      <w:r>
        <w:rPr>
          <w:rStyle w:val="textStyle"/>
        </w:rPr>
        <w:t xml:space="preserve">Einhaltung von EN 50131 (Grade 2) und PD 6662:2017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101441.289.WH1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2026-06-15T02:00:24+00:00</dcterms:created>
  <dcterms:modified xsi:type="dcterms:W3CDTF">2026-06-15T02:00:24+00:00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