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WRN-2110B1-4CH-6TB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2U 4x WAVE PRO-Lizenz vorinst., unterstützt 36-Kanäle, 1x6TB inst.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250 Mbps Aufnahmedurchsatz</w:t>
      </w:r>
    </w:p>
    <w:p>
      <w:pPr>
        <w:pStyle w:val="p2Style"/>
      </w:pPr>
      <w:r>
        <w:rPr>
          <w:rStyle w:val="textStyle"/>
        </w:rPr>
        <w:t xml:space="preserve">Unterstützt bis zu 40TB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</w:t>
      </w:r>
    </w:p>
    <w:p>
      <w:pPr>
        <w:pStyle w:val="p2Style"/>
      </w:pPr>
      <w:r>
        <w:rPr>
          <w:rStyle w:val="textStyle"/>
        </w:rPr>
        <w:t xml:space="preserve">und grundlegende Überwachung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WRN-2110B1-4CH-6TB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2026-07-21T09:29:55+00:00</dcterms:created>
  <dcterms:modified xsi:type="dcterms:W3CDTF">2026-07-21T09:29:55+00:00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