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WRN-2110B1-4CH-6TB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2U 4x WAVE PRO-Lizenz vorinst., unterstützt 36-Kanäle, 1x6TB inst.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AI-Metadaten</w:t>
      </w:r>
    </w:p>
    <w:p>
      <w:pPr>
        <w:pStyle w:val="p2Style"/>
      </w:pPr>
      <w:r>
        <w:rPr>
          <w:rStyle w:val="textStyle"/>
        </w:rPr>
        <w:t xml:space="preserve">250 Mbps Aufnahmedurchsatz</w:t>
      </w:r>
    </w:p>
    <w:p>
      <w:pPr>
        <w:pStyle w:val="p2Style"/>
      </w:pPr>
      <w:r>
        <w:rPr>
          <w:rStyle w:val="textStyle"/>
        </w:rPr>
        <w:t xml:space="preserve">Unterstützt bis zu 40TB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</w:t>
      </w:r>
    </w:p>
    <w:p>
      <w:pPr>
        <w:pStyle w:val="p2Style"/>
      </w:pPr>
      <w:r>
        <w:rPr>
          <w:rStyle w:val="textStyle"/>
        </w:rPr>
        <w:t xml:space="preserve">und grundlegende Überwachung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WRN-2110B1-4CH-6TB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2026-10-19T10:00:22+00:00</dcterms:created>
  <dcterms:modified xsi:type="dcterms:W3CDTF">2026-10-19T10:00:22+00:00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