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WRN-2010S-8CH-8TB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1U 8x WAVE PRO-Lizenz vorinst., unterstützt 16-Kanäle, 1x8TB inst.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Wave Client, Mobile und Cloud Sync</w:t>
      </w:r>
    </w:p>
    <w:p>
      <w:pPr>
        <w:pStyle w:val="p2Style"/>
      </w:pPr>
      <w:r>
        <w:rPr>
          <w:rStyle w:val="textStyle"/>
        </w:rPr>
        <w:t xml:space="preserve">Unterstützt AI-Metadaten</w:t>
      </w:r>
    </w:p>
    <w:p>
      <w:pPr>
        <w:pStyle w:val="p2Style"/>
      </w:pPr>
      <w:r>
        <w:rPr>
          <w:rStyle w:val="textStyle"/>
        </w:rPr>
        <w:t xml:space="preserve">150 Mbps Aufnahmedurchsatz</w:t>
      </w:r>
    </w:p>
    <w:p>
      <w:pPr>
        <w:pStyle w:val="p2Style"/>
      </w:pPr>
      <w:r>
        <w:rPr>
          <w:rStyle w:val="textStyle"/>
        </w:rPr>
        <w:t xml:space="preserve">Unterstützt bis zu 20TB internen Speicher</w:t>
      </w:r>
    </w:p>
    <w:p>
      <w:pPr>
        <w:pStyle w:val="p2Style"/>
      </w:pPr>
      <w:r>
        <w:rPr>
          <w:rStyle w:val="textStyle"/>
        </w:rPr>
        <w:t xml:space="preserve">HDMI/DP-Monitorausgänge für Konfiguration und</w:t>
      </w:r>
    </w:p>
    <w:p>
      <w:pPr>
        <w:pStyle w:val="p2Style"/>
      </w:pPr>
      <w:r>
        <w:rPr>
          <w:rStyle w:val="textStyle"/>
        </w:rPr>
        <w:t xml:space="preserve">grundlegende Überwachung</w:t>
      </w:r>
    </w:p>
    <w:p>
      <w:pPr>
        <w:pStyle w:val="p2Style"/>
      </w:pPr>
      <w:r>
        <w:rPr>
          <w:rStyle w:val="textStyle"/>
        </w:rPr>
        <w:t xml:space="preserve">8 PoE/PoE+-Anschlüsse mit einem Gesamtleistungsbudget von 100W</w:t>
      </w:r>
    </w:p>
    <w:p>
      <w:pPr>
        <w:pStyle w:val="p2Style"/>
      </w:pPr>
      <w:r>
        <w:rPr>
          <w:rStyle w:val="textStyle"/>
        </w:rPr>
        <w:t xml:space="preserve">Inklusive USB-Maus und Rack-Montagehalterungen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WRN-2010S-8CH-8TB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2026-07-21T08:04:25+00:00</dcterms:created>
  <dcterms:modified xsi:type="dcterms:W3CDTF">2026-07-21T08:04:25+00:00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