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III M12 2.8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2,8mm, 1920x1080,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Innenraumüberwachung mit 2MP</w:t>
      </w:r>
    </w:p>
    <w:p>
      <w:pPr>
        <w:pStyle w:val="p2Style"/>
      </w:pPr>
      <w:r>
        <w:rPr>
          <w:rStyle w:val="textStyle"/>
        </w:rPr>
        <w:t xml:space="preserve">Full-HD 1920x1080</w:t>
      </w:r>
    </w:p>
    <w:p>
      <w:pPr>
        <w:pStyle w:val="p2Style"/>
      </w:pPr>
      <w:r>
        <w:rPr>
          <w:rStyle w:val="textStyle"/>
        </w:rPr>
        <w:t xml:space="preserve">Entspricht EN50155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107° horizontales Sichtfeld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M12 Netzwerkanschluss</w:t>
      </w:r>
    </w:p>
    <w:p>
      <w:pPr>
        <w:pStyle w:val="p2Style"/>
      </w:pPr>
      <w:r>
        <w:rPr>
          <w:rStyle w:val="textStyle"/>
        </w:rPr>
        <w:t xml:space="preserve">Axis 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2026-10-19T09:59:46+00:00</dcterms:created>
  <dcterms:modified xsi:type="dcterms:W3CDTF">2026-10-19T09:59:46+00:00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