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SHD-1200FPW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Aluminium-Einbaugehäuse</w:t>
      </w:r>
    </w:p>
    <w:p>
      <w:pPr>
        <w:pStyle w:val="p2Style"/>
      </w:pPr>
      <w:r>
        <w:rPr>
          <w:rStyle w:val="textStyle"/>
        </w:rPr>
        <w:t xml:space="preserve">Produkt Abmessungen Ø180x100.7mm</w:t>
      </w:r>
    </w:p>
    <w:p>
      <w:pPr>
        <w:pStyle w:val="p2Style"/>
      </w:pPr>
      <w:r>
        <w:rPr>
          <w:rStyle w:val="textStyle"/>
        </w:rPr>
        <w:t xml:space="preserve">Gewicht 680g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Kompatibel zu QNV-C8011R/C9011R, QNV-C8012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SHD-1200FPW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2026-07-21T07:40:13+00:00</dcterms:created>
  <dcterms:modified xsi:type="dcterms:W3CDTF">2026-07-21T07:40:13+00:00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