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4-Kanal Video Zweidrahtempfänger BNC Ausgänge,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(passiver Sender/UTP Kabel)</w:t>
      </w:r>
    </w:p>
    <w:p>
      <w:pPr>
        <w:pStyle w:val="p2Style"/>
      </w:pPr>
      <w:r>
        <w:rPr>
          <w:rStyle w:val="textStyle"/>
        </w:rPr>
        <w:t xml:space="preserve">Bis 2200m Übertragung (aktiver Sender TT560)</w:t>
      </w:r>
    </w:p>
    <w:p>
      <w:pPr>
        <w:pStyle w:val="p2Style"/>
      </w:pPr>
      <w:r>
        <w:rPr>
          <w:rStyle w:val="textStyle"/>
        </w:rPr>
        <w:t xml:space="preserve">Verstärkungs- und Frequenz-Kompensation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Verstärkungsregelung, Signalunterbrechungs-Anzeige</w:t>
      </w:r>
    </w:p>
    <w:p>
      <w:pPr>
        <w:pStyle w:val="p2Style"/>
      </w:pPr>
      <w:r>
        <w:rPr>
          <w:rStyle w:val="textStyle"/>
        </w:rPr>
        <w:t xml:space="preserve">Anschlüsse: BNC-Buchsen /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00661955045616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2026-08-10T06:01:09+00:00</dcterms:created>
  <dcterms:modified xsi:type="dcterms:W3CDTF">2026-08-10T06:01:09+00:00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