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VH456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Aktiver 4-Kanal Video Zweidrahtempfänger BNC Ausgänge,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Zweidraht Videosignal-Empfänger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1000m Übertragung (passiver Sender/UTP Kabel)</w:t>
      </w:r>
    </w:p>
    <w:p>
      <w:pPr>
        <w:pStyle w:val="p2Style"/>
      </w:pPr>
      <w:r>
        <w:rPr>
          <w:rStyle w:val="textStyle"/>
        </w:rPr>
        <w:t xml:space="preserve">Bis 2200m Übertragung (aktiver Sender TT560)</w:t>
      </w:r>
    </w:p>
    <w:p>
      <w:pPr>
        <w:pStyle w:val="p2Style"/>
      </w:pPr>
      <w:r>
        <w:rPr>
          <w:rStyle w:val="textStyle"/>
        </w:rPr>
        <w:t xml:space="preserve">Verstärkungs- und Frequenz-Kompensation</w:t>
      </w:r>
    </w:p>
    <w:p>
      <w:pPr>
        <w:pStyle w:val="p2Style"/>
      </w:pPr>
      <w:r>
        <w:rPr>
          <w:rStyle w:val="textStyle"/>
        </w:rPr>
        <w:t xml:space="preserve">Kabellängen-Abgleich mittels Dip-Schaltern</w:t>
      </w:r>
    </w:p>
    <w:p>
      <w:pPr>
        <w:pStyle w:val="p2Style"/>
      </w:pPr>
      <w:r>
        <w:rPr>
          <w:rStyle w:val="textStyle"/>
        </w:rPr>
        <w:t xml:space="preserve">Brummschleifen- und Überspannungsschutz</w:t>
      </w:r>
    </w:p>
    <w:p>
      <w:pPr>
        <w:pStyle w:val="p2Style"/>
      </w:pPr>
      <w:r>
        <w:rPr>
          <w:rStyle w:val="textStyle"/>
        </w:rPr>
        <w:t xml:space="preserve">Schutz gegen statische und andere Störspannungen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Verstärkungsregelung, Signalunterbrechungs-Anzeige</w:t>
      </w:r>
    </w:p>
    <w:p>
      <w:pPr>
        <w:pStyle w:val="p2Style"/>
      </w:pPr>
      <w:r>
        <w:rPr>
          <w:rStyle w:val="textStyle"/>
        </w:rPr>
        <w:t xml:space="preserve">Anschlüsse: BNC-Buchsen / Klemmleisten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00661955045616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VH4-56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2026-09-24T20:21:10+00:00</dcterms:created>
  <dcterms:modified xsi:type="dcterms:W3CDTF">2026-09-24T20:21:10+00:00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