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TNM-C4942TDR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9,1mm 8fps, 8M MVF 4,4-9,3mm 30fps, IP66/67, IK10,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Bildwiederholfrequenz 30 fps(sichtbar) 8fps(thermisch)</w:t>
      </w:r>
    </w:p>
    <w:p>
      <w:pPr>
        <w:pStyle w:val="p2Style"/>
      </w:pPr>
      <w:r>
        <w:rPr>
          <w:rStyle w:val="textStyle"/>
        </w:rPr>
        <w:t xml:space="preserve">Objektiv thermisch: 9,1 mm feste Brennweite</w:t>
      </w:r>
    </w:p>
    <w:p>
      <w:pPr>
        <w:pStyle w:val="p2Style"/>
      </w:pPr>
      <w:r>
        <w:rPr>
          <w:rStyle w:val="textStyle"/>
        </w:rPr>
        <w:t xml:space="preserve">Objektiv sichtbar: 4,4-9,3 mm motorisiertes Varioobjektiv</w:t>
      </w:r>
    </w:p>
    <w:p>
      <w:pPr>
        <w:pStyle w:val="p2Style"/>
      </w:pPr>
      <w:r>
        <w:rPr>
          <w:rStyle w:val="textStyle"/>
        </w:rPr>
        <w:t xml:space="preserve">AI-basierte Objektklassifizierung mit beiden Kanälen (Person/Fahrzeug)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10 polygonale ROI-Bereiche für die Temperaturüberwachung</w:t>
      </w:r>
    </w:p>
    <w:p>
      <w:pPr>
        <w:pStyle w:val="p2Style"/>
      </w:pPr>
      <w:r>
        <w:rPr>
          <w:rStyle w:val="textStyle"/>
        </w:rPr>
        <w:t xml:space="preserve">IP66/IP67,IK10, NEMA4X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textStyle"/>
        </w:rPr>
        <w:t xml:space="preserve">Verbesserte All-in-One-Installationslösung (Wand &amp; Mast)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mm,4,4 - 9,3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TNM-C4942TDR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2026-07-21T07:24:10+00:00</dcterms:created>
  <dcterms:modified xsi:type="dcterms:W3CDTF">2026-07-21T07:24:10+00:00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