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TNM-C3622TDR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QVGA 4,7mm 8fps, 2MP 4,0mm 30fps, H.265,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QVGA-Wärmebild- &amp; 2MP-Sensor sichtbar</w:t>
      </w:r>
    </w:p>
    <w:p>
      <w:pPr>
        <w:pStyle w:val="p2Style"/>
      </w:pPr>
      <w:r>
        <w:rPr>
          <w:rStyle w:val="textStyle"/>
        </w:rPr>
        <w:t xml:space="preserve">Bildwiederholfrequenz 30fps (sichtbar), 8fps (thermisch)</w:t>
      </w:r>
    </w:p>
    <w:p>
      <w:pPr>
        <w:pStyle w:val="p2Style"/>
      </w:pPr>
      <w:r>
        <w:rPr>
          <w:rStyle w:val="textStyle"/>
        </w:rPr>
        <w:t xml:space="preserve">Objektiv thermisch: 4,7mm feste Brennweite</w:t>
      </w:r>
    </w:p>
    <w:p>
      <w:pPr>
        <w:pStyle w:val="p2Style"/>
      </w:pPr>
      <w:r>
        <w:rPr>
          <w:rStyle w:val="textStyle"/>
        </w:rPr>
        <w:t xml:space="preserve">Objektiv sichtbar: 4,0mm feste Brennweite</w:t>
      </w:r>
    </w:p>
    <w:p>
      <w:pPr>
        <w:pStyle w:val="p2Style"/>
      </w:pPr>
      <w:r>
        <w:rPr>
          <w:rStyle w:val="textStyle"/>
        </w:rPr>
        <w:t xml:space="preserve">AI-basierte Objektklassifizierung nur mit sichtbarem Kanal (Person)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6 quadratische ROI-Bereiche für die Temperaturüberwachung</w:t>
      </w:r>
    </w:p>
    <w:p>
      <w:pPr>
        <w:pStyle w:val="p2Style"/>
      </w:pPr>
      <w:r>
        <w:rPr>
          <w:rStyle w:val="textStyle"/>
        </w:rPr>
        <w:t xml:space="preserve">Kompakt und leicht für den Einsatz in Innenräumen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mm,4,0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TNM-C3622TDR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 für TNM-3620TDY, TNMC3620TDR, TNM-C3622TDR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 für TNM-3620TDY, TNMC3620TDR, TNM-C3622TDR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2026-07-21T08:42:14+00:00</dcterms:created>
  <dcterms:modified xsi:type="dcterms:W3CDTF">2026-07-21T08:42:14+00:00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