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VH3256M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32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32-Kanal Video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 max. 900m mit passiven Sendern</w:t>
      </w:r>
    </w:p>
    <w:p>
      <w:pPr>
        <w:pStyle w:val="p2Style"/>
      </w:pPr>
      <w:r>
        <w:rPr>
          <w:rStyle w:val="textStyle"/>
        </w:rPr>
        <w:t xml:space="preserve">Reichweite max. 1800m mit aktiven Sendern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Zweidrahtverbindung: RJ45-Buchsen</w:t>
      </w:r>
    </w:p>
    <w:p>
      <w:pPr>
        <w:pStyle w:val="p2Style"/>
      </w:pPr>
      <w:r>
        <w:rPr>
          <w:rStyle w:val="textStyle"/>
        </w:rPr>
        <w:t xml:space="preserve">Temperaturbereich -20°C ~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2026-07-21T07:55:32+00:00</dcterms:created>
  <dcterms:modified xsi:type="dcterms:W3CDTF">2026-07-21T07:55:32+00:00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