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32-Kan. Video Zweidrahtempfänger, 19", ohne EU-Netzteil 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 Sender/UTP Kabel)</w:t>
      </w:r>
    </w:p>
    <w:p>
      <w:pPr>
        <w:pStyle w:val="p2Style"/>
      </w:pPr>
      <w:r>
        <w:rPr>
          <w:rStyle w:val="textStyle"/>
        </w:rPr>
        <w:t xml:space="preserve">Bis 2200m Übertragung mit TT560 (Aktive Sender)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Verstärkungsregelung und Videosignal-Detektion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Klemmleisten</w:t>
      </w:r>
    </w:p>
    <w:p>
      <w:pPr>
        <w:pStyle w:val="p2Style"/>
      </w:pPr>
      <w:r>
        <w:rPr>
          <w:rStyle w:val="textStyle"/>
        </w:rPr>
        <w:t xml:space="preserve">Kompakte Bauform, 1HE /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2026-10-05T14:45:22+00:00</dcterms:created>
  <dcterms:modified xsi:type="dcterms:W3CDTF">2026-10-05T14:45:22+00:00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