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C6110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Paging Konsole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anpassbare Lösung für Durchsagen</w:t>
      </w:r>
    </w:p>
    <w:p>
      <w:pPr>
        <w:pStyle w:val="p2Style"/>
      </w:pPr>
      <w:r>
        <w:rPr>
          <w:rStyle w:val="textStyle"/>
        </w:rPr>
        <w:t xml:space="preserve">Ermöglicht Live- und aufgezeichnete Durchsagen</w:t>
      </w:r>
    </w:p>
    <w:p>
      <w:pPr>
        <w:pStyle w:val="p2Style"/>
      </w:pPr>
      <w:r>
        <w:rPr>
          <w:rStyle w:val="textStyle"/>
        </w:rPr>
        <w:t xml:space="preserve">Erreichen Sie alle erforderlichen Audiozonen</w:t>
      </w:r>
    </w:p>
    <w:p>
      <w:pPr>
        <w:pStyle w:val="p2Style"/>
      </w:pPr>
      <w:r>
        <w:rPr>
          <w:rStyle w:val="textStyle"/>
        </w:rPr>
        <w:t xml:space="preserve">Auf der Weboberfläche konfigurierbares Display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ETSI EN 303 645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TC6901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Mikrofon, für AXIS C6110 Netzwerk Paging Konsole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2026-11-01T11:58:13+00:00</dcterms:created>
  <dcterms:modified xsi:type="dcterms:W3CDTF">2026-11-01T11:58:13+00:00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