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WRN-1610S-16CH-6TB-HDV2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16x WAVE PRO Lizenz, 16x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2U</w:t>
      </w:r>
    </w:p>
    <w:p>
      <w:pPr>
        <w:pStyle w:val="p2Style"/>
      </w:pPr>
      <w:r>
        <w:rPr>
          <w:rStyle w:val="textStyle"/>
        </w:rPr>
        <w:t xml:space="preserve">Mit 16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6TB raw ST6000VX009</w:t>
      </w:r>
    </w:p>
    <w:p>
      <w:pPr>
        <w:pStyle w:val="p2Style"/>
      </w:pPr>
      <w:r>
        <w:rPr>
          <w:rStyle w:val="textStyle"/>
        </w:rPr>
        <w:t xml:space="preserve">Bis zu 150 Mbps Aufzeichnung S/W</w:t>
      </w:r>
    </w:p>
    <w:p>
      <w:pPr>
        <w:pStyle w:val="p2Style"/>
      </w:pPr>
      <w:r>
        <w:rPr>
          <w:rStyle w:val="textStyle"/>
        </w:rPr>
        <w:t xml:space="preserve">4x HDD-Schächte (3,5") bis zu 24TB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16 PoE+ Kameraanschlüsse mit 200W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WRN-1610S-16CH-6TB-HDV2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2026-06-05T18:40:34+00:00</dcterms:created>
  <dcterms:modified xsi:type="dcterms:W3CDTF">2026-06-05T18:40:34+00:00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