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DIP-74GI-16HD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16x18TB,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16 Kanäle, erweiterbar bis zu 256 Kanälen</w:t>
      </w:r>
    </w:p>
    <w:p>
      <w:pPr>
        <w:pStyle w:val="p2Style"/>
      </w:pPr>
      <w:r>
        <w:rPr>
          <w:rStyle w:val="textStyle"/>
        </w:rPr>
        <w:t xml:space="preserve">16x18TB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