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DIP-74GI-16HD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16x18TB, 3HE,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16 Kanäle, erweiterbar bis zu 256 Kanälen</w:t>
      </w:r>
    </w:p>
    <w:p>
      <w:pPr>
        <w:pStyle w:val="p2Style"/>
      </w:pPr>
      <w:r>
        <w:rPr>
          <w:rStyle w:val="textStyle"/>
        </w:rPr>
        <w:t xml:space="preserve">16x18TB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