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liteServer Ex.micro.24.IR90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Modell: T20-VA0.1.K1.BOR-L.N-005.1-K IR-LED Strahler im Edelstahlgehäuse gemäß RL 2014/34/EU ATEX und IECEx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Strahlungsintensität: 4120mW</w:t>
      </w:r>
    </w:p>
    <w:p>
      <w:pPr>
        <w:pStyle w:val="p2Style"/>
      </w:pPr>
      <w:r>
        <w:rPr>
          <w:rStyle w:val="textStyle"/>
        </w:rPr>
        <w:t xml:space="preserve">Abstrahlwinkel: 90°</w:t>
      </w:r>
    </w:p>
    <w:p>
      <w:pPr>
        <w:pStyle w:val="p2Style"/>
      </w:pPr>
      <w:r>
        <w:rPr>
          <w:rStyle w:val="textStyle"/>
        </w:rPr>
        <w:t xml:space="preserve">IR-Wellelänge: 850nm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24060118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liteServer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2026-08-11T12:20:47+00:00</dcterms:created>
  <dcterms:modified xsi:type="dcterms:W3CDTF">2026-08-11T12:20:47+00:00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