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TM1903 PRIVACY COVER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Objektivabdeckung, für AXIS M1055-L, AXIS M1075-L,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der Privatsphäre, wann immer dies erforderlich ist</w:t>
      </w:r>
    </w:p>
    <w:p>
      <w:pPr>
        <w:pStyle w:val="p2Style"/>
      </w:pPr>
      <w:r>
        <w:rPr>
          <w:rStyle w:val="textStyle"/>
        </w:rPr>
        <w:t xml:space="preserve">Schnelle und einfache Bereitstellung</w:t>
      </w:r>
    </w:p>
    <w:p>
      <w:pPr>
        <w:pStyle w:val="p2Style"/>
      </w:pPr>
      <w:r>
        <w:rPr>
          <w:rStyle w:val="textStyle"/>
        </w:rPr>
        <w:t xml:space="preserve">Schützt das Objektiv vor Staub und Fingerabdrücken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2026-08-01T09:59:30+00:00</dcterms:created>
  <dcterms:modified xsi:type="dcterms:W3CDTF">2026-08-01T09:59:30+00:00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