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Schwenkbereich, 360° Schwenkbereich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6,0 kg</w:t>
      </w:r>
    </w:p>
    <w:p>
      <w:pPr>
        <w:pStyle w:val="p2Style"/>
      </w:pPr>
      <w:r>
        <w:rPr>
          <w:rStyle w:val="textStyle"/>
        </w:rPr>
        <w:t xml:space="preserve">Punktlast: 50 kg</w:t>
      </w:r>
    </w:p>
    <w:p>
      <w:pPr>
        <w:pStyle w:val="p2Style"/>
      </w:pPr>
      <w:r>
        <w:rPr>
          <w:rStyle w:val="textStyle"/>
        </w:rPr>
        <w:t xml:space="preserve">Maße: 140x110x450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2026-07-14T00:48:51+00:00</dcterms:created>
  <dcterms:modified xsi:type="dcterms:W3CDTF">2026-07-14T00:48:51+00:00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