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WMB-VA2.0 / VA2.1 / VA 2.2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den Gehäusegrößen VA2.0 / VA2.1 / VA2.2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robust, vibrationsgetestet</w:t>
      </w:r>
    </w:p>
    <w:p>
      <w:pPr>
        <w:pStyle w:val="p2Style"/>
      </w:pPr>
      <w:r>
        <w:rPr>
          <w:rStyle w:val="textStyle"/>
        </w:rPr>
        <w:t xml:space="preserve">Leicht, 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0,77 kg</w:t>
      </w:r>
    </w:p>
    <w:p>
      <w:pPr>
        <w:pStyle w:val="p2Style"/>
      </w:pPr>
      <w:r>
        <w:rPr>
          <w:rStyle w:val="textStyle"/>
        </w:rPr>
        <w:t xml:space="preserve">Maße: 80x100x275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2026-10-09T05:59:58+00:00</dcterms:created>
  <dcterms:modified xsi:type="dcterms:W3CDTF">2026-10-09T05:59:58+00:00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