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WMB-VA0.1 / VA1.2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den Gehäusegrößen VA0.x und VA1.2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robust, vibrationsgetestet</w:t>
      </w:r>
    </w:p>
    <w:p>
      <w:pPr>
        <w:pStyle w:val="p2Style"/>
      </w:pPr>
      <w:r>
        <w:rPr>
          <w:rStyle w:val="textStyle"/>
        </w:rPr>
        <w:t xml:space="preserve">Leicht, 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0,46 kg</w:t>
      </w:r>
    </w:p>
    <w:p>
      <w:pPr>
        <w:pStyle w:val="p2Style"/>
      </w:pPr>
      <w:r>
        <w:rPr>
          <w:rStyle w:val="textStyle"/>
        </w:rPr>
        <w:t xml:space="preserve">Maße: 80x100x205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2026-08-22T02:15:49+00:00</dcterms:created>
  <dcterms:modified xsi:type="dcterms:W3CDTF">2026-08-22T02:15:49+00:00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