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mit FBAS Kabel/BNC-Stecker,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Sender oder Empfänger nutzbar</w:t>
      </w:r>
    </w:p>
    <w:p>
      <w:pPr>
        <w:pStyle w:val="p2Style"/>
      </w:pPr>
      <w:r>
        <w:rPr>
          <w:rStyle w:val="textStyle"/>
        </w:rPr>
        <w:t xml:space="preserve">Kompatibel mit Up-the-Coax Kontrollsystemen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225m Übertragung (passiver Empfänger)</w:t>
      </w:r>
    </w:p>
    <w:p>
      <w:pPr>
        <w:pStyle w:val="p2Style"/>
      </w:pPr>
      <w:r>
        <w:rPr>
          <w:rStyle w:val="textStyle"/>
        </w:rPr>
        <w:t xml:space="preserve">Bis 900m Übertragung (aktiver Empfänger)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VB31-M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2026-08-10T02:20:16+00:00</dcterms:created>
  <dcterms:modified xsi:type="dcterms:W3CDTF">2026-08-10T02:20:16+00:00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