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Weitformat LCD-Display</w:t>
      </w:r>
    </w:p>
    <w:p>
      <w:pPr>
        <w:pStyle w:val="p2Style"/>
      </w:pPr>
      <w:r>
        <w:rPr>
          <w:rStyle w:val="textStyle"/>
        </w:rPr>
        <w:t xml:space="preserve">IK07 NeoV-Glass</w:t>
      </w:r>
    </w:p>
    <w:p>
      <w:pPr>
        <w:pStyle w:val="p2Style"/>
      </w:pPr>
      <w:r>
        <w:rPr>
          <w:rStyle w:val="textStyle"/>
        </w:rPr>
        <w:t xml:space="preserve">IK10 Gehäuse</w:t>
      </w:r>
    </w:p>
    <w:p>
      <w:pPr>
        <w:pStyle w:val="p2Style"/>
      </w:pPr>
      <w:r>
        <w:rPr>
          <w:rStyle w:val="textStyle"/>
        </w:rPr>
        <w:t xml:space="preserve">IP65 vorn</w:t>
      </w:r>
    </w:p>
    <w:p>
      <w:pPr>
        <w:pStyle w:val="p2Style"/>
      </w:pPr>
      <w:r>
        <w:rPr>
          <w:rStyle w:val="textStyle"/>
        </w:rPr>
        <w:t xml:space="preserve">EN61000 zertifiziert</w:t>
      </w:r>
    </w:p>
    <w:p>
      <w:pPr>
        <w:pStyle w:val="p2Style"/>
      </w:pPr>
      <w:r>
        <w:rPr>
          <w:rStyle w:val="textStyle"/>
        </w:rPr>
        <w:t xml:space="preserve">Temperaturbereich -5 bis 45°C</w:t>
      </w:r>
    </w:p>
    <w:p>
      <w:pPr>
        <w:pStyle w:val="p2Style"/>
      </w:pPr>
      <w:r>
        <w:rPr>
          <w:rStyle w:val="textStyle"/>
        </w:rPr>
        <w:t xml:space="preserve">300cd/m² Helligkeit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2026-08-23T16:40:24+00:00</dcterms:created>
  <dcterms:modified xsi:type="dcterms:W3CDTF">2026-08-23T16:40:24+00:00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