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VB31AT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 Sender/Empfänger, Video/Spannung, BNC,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 und Spannungsübertragungs Combiner</w:t>
      </w:r>
    </w:p>
    <w:p>
      <w:pPr>
        <w:pStyle w:val="p2Style"/>
      </w:pPr>
      <w:r>
        <w:rPr>
          <w:rStyle w:val="textStyle"/>
        </w:rPr>
        <w:t xml:space="preserve">HD TVI/CVI/AHD, 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UTP-Kabel, 24 AWG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Anschlüsse BNC, RJ45</w:t>
      </w:r>
    </w:p>
    <w:p>
      <w:pPr>
        <w:pStyle w:val="p2Style"/>
      </w:pPr>
      <w:r>
        <w:rPr>
          <w:rStyle w:val="textStyle"/>
        </w:rPr>
        <w:t xml:space="preserve">Reichweite bis 225m</w:t>
      </w:r>
    </w:p>
    <w:p>
      <w:pPr>
        <w:pStyle w:val="p2Style"/>
      </w:pPr>
      <w:r>
        <w:rPr>
          <w:rStyle w:val="textStyle"/>
        </w:rPr>
        <w:t xml:space="preserve">Keine zusätzliche Stromversorgung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VB31-PT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2026-08-10T03:23:47+00:00</dcterms:created>
  <dcterms:modified xsi:type="dcterms:W3CDTF">2026-08-10T03:23:47+00:00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