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LH-2703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27" LCD-Display, IPS Technologie</w:t>
      </w:r>
    </w:p>
    <w:p>
      <w:pPr>
        <w:pStyle w:val="p2Style"/>
      </w:pPr>
      <w:r>
        <w:rPr>
          <w:rStyle w:val="textStyle"/>
        </w:rPr>
        <w:t xml:space="preserve">Energiesparende LED-Hintergrundbeleuchtung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Höhenverstellbarer Fuß</w:t>
      </w:r>
    </w:p>
    <w:p>
      <w:pPr>
        <w:pStyle w:val="p2Style"/>
      </w:pPr>
      <w:r>
        <w:rPr>
          <w:rStyle w:val="textStyle"/>
        </w:rPr>
        <w:t xml:space="preserve">Dynamisches Kontrastverhältnis 20.000.000:1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VESA-Mount 75x75mm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LH-2703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2026-08-01T17:04:58+00:00</dcterms:created>
  <dcterms:modified xsi:type="dcterms:W3CDTF">2026-08-01T17:04:58+00:00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