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KI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Umgebungslernphase KI inkl. Vorkonfiguration der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Verhaltensanalyse zur Gesundheitsanalyse</w:t>
      </w:r>
    </w:p>
    <w:p>
      <w:pPr>
        <w:pStyle w:val="p2Style"/>
      </w:pPr>
      <w:r>
        <w:rPr>
          <w:rStyle w:val="textStyle"/>
        </w:rPr>
        <w:t xml:space="preserve">Kolikfrüherkennung mit aktiver Benachrichtigung mittels künstlicher Intelligenz (KI)</w:t>
      </w:r>
    </w:p>
    <w:p>
      <w:pPr>
        <w:pStyle w:val="p2Style"/>
      </w:pPr>
      <w:r>
        <w:rPr>
          <w:rStyle w:val="textStyle"/>
        </w:rPr>
        <w:t xml:space="preserve">ACHTUNG: Kamera und Lizenz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Activation &amp; Calibration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2026-07-04T10:45:50+00:00</dcterms:created>
  <dcterms:modified xsi:type="dcterms:W3CDTF">2026-07-04T10:45:50+00:00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