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TR560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Empfänger, aktiv, Video, 2200m, FBAS-Eingang, TPAusgang, 12-24VAC/DC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Zweidraht Videosignal-Empfänger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1000m Übertragung (passiver Sender/UTP Kabel)</w:t>
      </w:r>
    </w:p>
    <w:p>
      <w:pPr>
        <w:pStyle w:val="p2Style"/>
      </w:pPr>
      <w:r>
        <w:rPr>
          <w:rStyle w:val="textStyle"/>
        </w:rPr>
        <w:t xml:space="preserve">Bis 2200m Übertragung (aktiver Sender/UTP Kabel)</w:t>
      </w:r>
    </w:p>
    <w:p>
      <w:pPr>
        <w:pStyle w:val="p2Style"/>
      </w:pPr>
      <w:r>
        <w:rPr>
          <w:rStyle w:val="textStyle"/>
        </w:rPr>
        <w:t xml:space="preserve">Verstärkungs- und Frequenz-Kompensation</w:t>
      </w:r>
    </w:p>
    <w:p>
      <w:pPr>
        <w:pStyle w:val="p2Style"/>
      </w:pPr>
      <w:r>
        <w:rPr>
          <w:rStyle w:val="textStyle"/>
        </w:rPr>
        <w:t xml:space="preserve">Kabellängen-Abgleich mittels Dip-Schaltern</w:t>
      </w:r>
    </w:p>
    <w:p>
      <w:pPr>
        <w:pStyle w:val="p2Style"/>
      </w:pPr>
      <w:r>
        <w:rPr>
          <w:rStyle w:val="textStyle"/>
        </w:rPr>
        <w:t xml:space="preserve">Brummschleifen- und Überspannungsschutz</w:t>
      </w:r>
    </w:p>
    <w:p>
      <w:pPr>
        <w:pStyle w:val="p2Style"/>
      </w:pPr>
      <w:r>
        <w:rPr>
          <w:rStyle w:val="textStyle"/>
        </w:rPr>
        <w:t xml:space="preserve">Schutz gegen statische und andere Störspannungen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Anschlüsse BNC-Stecker / 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2026-05-11T19:56:50+00:00</dcterms:created>
  <dcterms:modified xsi:type="dcterms:W3CDTF">2026-05-11T19:56:50+00:00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