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C1410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90dB, SIP, Mikrofon, Innen, PIR-Melder, IP40,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Umfassendes Lautsprechersystem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Verbindung zum Standardnetzwerk</w:t>
      </w:r>
    </w:p>
    <w:p>
      <w:pPr>
        <w:pStyle w:val="p2Style"/>
      </w:pPr>
      <w:r>
        <w:rPr>
          <w:rStyle w:val="textStyle"/>
        </w:rPr>
        <w:t xml:space="preserve">Einfache Installation mit PoE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textStyle"/>
        </w:rPr>
        <w:t xml:space="preserve">PIR-Sensor für Bewegungserkennung</w:t>
      </w:r>
    </w:p>
    <w:p>
      <w:pPr>
        <w:pStyle w:val="p2Style"/>
      </w:pPr>
      <w:r>
        <w:rPr>
          <w:rStyle w:val="textStyle"/>
        </w:rPr>
        <w:t xml:space="preserve">Große Reichweite für Durchsagen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TC1601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AXIS C1410 Lautsprecher, für Hängemontage oder als Backbox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TC1701 FRONT COVER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Abdeckung, für AXIS C1410 Lautsprecher, lackerbar,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2026-06-05T19:50:34+00:00</dcterms:created>
  <dcterms:modified xsi:type="dcterms:W3CDTF">2026-06-05T19:50:34+00:00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